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4"/>
          <w:rFonts w:ascii="宋体" w:hAnsi="宋体"/>
          <w:bCs w:val="0"/>
          <w:sz w:val="32"/>
          <w:szCs w:val="32"/>
        </w:rPr>
      </w:pPr>
      <w:r>
        <w:rPr>
          <w:rStyle w:val="4"/>
          <w:rFonts w:hint="eastAsia" w:ascii="宋体" w:hAnsi="宋体"/>
          <w:bCs w:val="0"/>
          <w:sz w:val="28"/>
          <w:szCs w:val="28"/>
        </w:rPr>
        <w:t>报到入职办理环节提示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一．人事处</w:t>
      </w:r>
    </w:p>
    <w:p>
      <w:pPr>
        <w:numPr>
          <w:ilvl w:val="0"/>
          <w:numId w:val="1"/>
        </w:num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人事科(行政楼50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)入职人员提供各类证件原件及复印件，确定工号，领取至相关部门办理手续的流程单；</w:t>
      </w:r>
    </w:p>
    <w:p>
      <w:pPr>
        <w:numPr>
          <w:ilvl w:val="0"/>
          <w:numId w:val="1"/>
        </w:num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档案信息科</w:t>
      </w:r>
      <w:r>
        <w:rPr>
          <w:rFonts w:hint="eastAsia" w:eastAsiaTheme="minorEastAsia"/>
          <w:sz w:val="2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143510</wp:posOffset>
            </wp:positionV>
            <wp:extent cx="1174115" cy="1521460"/>
            <wp:effectExtent l="0" t="0" r="6985" b="2540"/>
            <wp:wrapTight wrapText="bothSides">
              <wp:wrapPolygon>
                <wp:start x="0" y="0"/>
                <wp:lineTo x="0" y="21366"/>
                <wp:lineTo x="21378" y="21366"/>
                <wp:lineTo x="21378" y="0"/>
                <wp:lineTo x="0" y="0"/>
              </wp:wrapPolygon>
            </wp:wrapTight>
            <wp:docPr id="2" name="图片 2" descr="fee473a079c1ed70a1859e2ccf09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e473a079c1ed70a1859e2ccf09c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</w:t>
      </w:r>
      <w:bookmarkStart w:id="0" w:name="_Hlk73606793"/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(行政楼507)</w:t>
      </w:r>
      <w:bookmarkEnd w:id="0"/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邱老师处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审核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人员信息；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3</w:t>
      </w:r>
      <w:r>
        <w:rPr>
          <w:rFonts w:asciiTheme="majorEastAsia" w:hAnsiTheme="majorEastAsia" w:eastAsiaTheme="majorEastAsia" w:cstheme="majorEastAsia"/>
          <w:color w:val="333333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劳资科(行政楼507)孙老师处办理起薪；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4</w:t>
      </w:r>
      <w:r>
        <w:rPr>
          <w:rFonts w:asciiTheme="majorEastAsia" w:hAnsiTheme="majorEastAsia" w:eastAsiaTheme="majorEastAsia" w:cstheme="majorEastAsia"/>
          <w:color w:val="333333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添加档案信息科刘晶老师微信（请按“姓名-部门-工号”发送备注），办理档案事宜；</w:t>
      </w:r>
    </w:p>
    <w:p>
      <w:pPr>
        <w:spacing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5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人才交流中心(行政楼50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)金老师处签订合同（教研人员需携带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3份签字盖章版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《新进教学科研人员任务书》）。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二、其他办理部门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 xml:space="preserve">1. 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接收部门：持报到流程单到所在工作部门报到；</w:t>
      </w:r>
      <w:r>
        <w:rPr>
          <w:rFonts w:asciiTheme="majorEastAsia" w:hAnsiTheme="majorEastAsia" w:eastAsiaTheme="majorEastAsia" w:cstheme="majorEastAsia"/>
          <w:color w:val="333333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党委办公室、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党委统战部（行政楼606室）：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办理民主党派关系转移手续等</w:t>
      </w:r>
      <w:r>
        <w:rPr>
          <w:rFonts w:hint="eastAsia" w:asciiTheme="majorEastAsia" w:hAnsiTheme="majorEastAsia" w:eastAsiaTheme="majorEastAsia" w:cstheme="majorEastAsia"/>
          <w:color w:val="333333"/>
          <w:spacing w:val="-9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党委组织部、党校（行政楼611室）：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携带《中国共产党党员组织关系介绍信》（由原党组织开具，抬头为：中共上海立信会计金融学院委员会），办理党员组织关系转移手续等</w:t>
      </w:r>
      <w:r>
        <w:rPr>
          <w:rFonts w:hint="eastAsia" w:asciiTheme="majorEastAsia" w:hAnsiTheme="majorEastAsia" w:eastAsiaTheme="majorEastAsia" w:cstheme="majorEastAsia"/>
          <w:color w:val="333333"/>
          <w:spacing w:val="-9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4.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科研处、学科建设处（行政楼501室）：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开通教工科研系统功能等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5.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财务处（行政楼312室）：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办理农行公务卡</w:t>
      </w:r>
      <w:r>
        <w:rPr>
          <w:rFonts w:hint="eastAsia" w:asciiTheme="majorEastAsia" w:hAnsiTheme="majorEastAsia" w:eastAsiaTheme="majorEastAsia" w:cstheme="majorEastAsia"/>
          <w:color w:val="333333"/>
          <w:spacing w:val="-9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6.</w:t>
      </w:r>
      <w:r>
        <w:rPr>
          <w:rFonts w:asciiTheme="majorEastAsia" w:hAnsiTheme="majorEastAsia" w:eastAsiaTheme="majorEastAsia" w:cstheme="majorEastAsia"/>
          <w:color w:val="33333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总务处（行政楼303室）：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办理住宿、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领用办公设备手续等</w:t>
      </w:r>
      <w:r>
        <w:rPr>
          <w:rFonts w:hint="eastAsia" w:asciiTheme="majorEastAsia" w:hAnsiTheme="majorEastAsia" w:eastAsiaTheme="majorEastAsia" w:cstheme="majorEastAsia"/>
          <w:color w:val="333333"/>
          <w:spacing w:val="-9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7.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教务处（实验中心221室）：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开通教工信息管理系统功能等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8.</w:t>
      </w:r>
      <w:r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信息化办公室（实验中心117室）：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办理校园一卡通、开通信息化校园系统等</w:t>
      </w:r>
      <w:r>
        <w:rPr>
          <w:rFonts w:hint="eastAsia" w:asciiTheme="majorEastAsia" w:hAnsiTheme="majorEastAsia" w:eastAsiaTheme="majorEastAsia" w:cstheme="majorEastAsia"/>
          <w:color w:val="333333"/>
          <w:spacing w:val="-9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9.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教师教学发展中心（实验中心513室）：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办理新进教工登记等手续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10.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党委保卫部、保卫处（实验中心122室）：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办理需入校集体户口手续等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11.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图书馆（图书馆大厅）：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开通图书借阅读功能等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color w:val="333333"/>
          <w:spacing w:val="-1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12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工会、妇委会（职工之家105室）：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办理工会会员登记</w:t>
      </w: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；</w:t>
      </w:r>
    </w:p>
    <w:p>
      <w:pPr>
        <w:spacing w:line="4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-13"/>
          <w:sz w:val="24"/>
          <w:szCs w:val="24"/>
        </w:rPr>
        <w:t>13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医务室（医务室205室）：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复核新教工入职体检报告手续，领取回执单。</w:t>
      </w:r>
    </w:p>
    <w:p>
      <w:pPr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</w:t>
      </w:r>
    </w:p>
    <w:p>
      <w:pPr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1、除人事处外，其余办理报到部门不分前后顺序，可自行安排；</w:t>
      </w:r>
    </w:p>
    <w:p>
      <w:pPr>
        <w:rPr>
          <w:rFonts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2、报到流程单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一周内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办结，新进人员需将医务室开具的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回执单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与办结的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流程单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一并交还至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行政楼50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室。</w:t>
      </w:r>
    </w:p>
    <w:p>
      <w:pPr>
        <w:rPr>
          <w:rFonts w:asciiTheme="majorEastAsia" w:hAnsiTheme="majorEastAsia" w:eastAsiaTheme="majorEastAsia" w:cstheme="majorEastAsia"/>
          <w:b/>
          <w:bCs/>
          <w:color w:val="333333"/>
          <w:sz w:val="28"/>
          <w:szCs w:val="28"/>
        </w:rPr>
      </w:pPr>
    </w:p>
    <w:sectPr>
      <w:pgSz w:w="11906" w:h="16838"/>
      <w:pgMar w:top="1157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40BD3"/>
    <w:multiLevelType w:val="singleLevel"/>
    <w:tmpl w:val="6F940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jI4ZGMxMDMyNzViNTc3N2I3NTMxZWI3MTNmMDUifQ=="/>
  </w:docVars>
  <w:rsids>
    <w:rsidRoot w:val="2D594C09"/>
    <w:rsid w:val="00294FD1"/>
    <w:rsid w:val="00662C4A"/>
    <w:rsid w:val="00E11EF0"/>
    <w:rsid w:val="0B8B1CE7"/>
    <w:rsid w:val="0C170D07"/>
    <w:rsid w:val="0DA80C46"/>
    <w:rsid w:val="11695E93"/>
    <w:rsid w:val="19365F09"/>
    <w:rsid w:val="1A913D4E"/>
    <w:rsid w:val="1FBD1161"/>
    <w:rsid w:val="204376AB"/>
    <w:rsid w:val="2745655D"/>
    <w:rsid w:val="29B91D8F"/>
    <w:rsid w:val="2D594C09"/>
    <w:rsid w:val="36AC7640"/>
    <w:rsid w:val="39E81BBB"/>
    <w:rsid w:val="3AF07857"/>
    <w:rsid w:val="40C33C02"/>
    <w:rsid w:val="42F31157"/>
    <w:rsid w:val="51BF5A21"/>
    <w:rsid w:val="5AEF6765"/>
    <w:rsid w:val="6B9023FF"/>
    <w:rsid w:val="73EF762C"/>
    <w:rsid w:val="76D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747</Characters>
  <Lines>5</Lines>
  <Paragraphs>1</Paragraphs>
  <TotalTime>317</TotalTime>
  <ScaleCrop>false</ScaleCrop>
  <LinksUpToDate>false</LinksUpToDate>
  <CharactersWithSpaces>759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2020-10-26T01:06:00Z</dcterms:created>
  <dc:creator>Moon</dc:creator>
  <cp:lastModifiedBy>TZQ</cp:lastModifiedBy>
  <cp:lastPrinted>2023-09-13T04:26:47Z</cp:lastPrinted>
  <dcterms:modified xsi:type="dcterms:W3CDTF">2023-09-13T07:31:32Z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BBF431A9A45D4E1AB852C5F8B0CA3100_13</vt:lpwstr>
  </property>
</Properties>
</file>